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BREAKING STALIN’S NOSE</w:t>
      </w:r>
      <w:r w:rsidDel="00000000" w:rsidR="00000000" w:rsidRPr="00000000">
        <w:rPr>
          <w:rtl w:val="0"/>
        </w:rPr>
        <w:t xml:space="preserve">” by Eugene Yelchin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PART 1 - Reading the book + Reading Log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5095875</wp:posOffset>
            </wp:positionH>
            <wp:positionV relativeFrom="paragraph">
              <wp:posOffset>228600</wp:posOffset>
            </wp:positionV>
            <wp:extent cx="1539240" cy="1940991"/>
            <wp:effectExtent b="0" l="0" r="0" t="0"/>
            <wp:wrapSquare wrapText="bothSides" distB="114300" distT="114300" distL="114300" distR="114300"/>
            <wp:docPr id="1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9409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Complete a “Reading Log Map” on </w:t>
      </w: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larger sheet of white paper. The reading log collage should have 2</w:t>
      </w:r>
      <w:r w:rsidDel="00000000" w:rsidR="00000000" w:rsidRPr="00000000">
        <w:rPr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items on it. They can come from any chapters you like</w:t>
      </w:r>
      <w:r w:rsidDel="00000000" w:rsidR="00000000" w:rsidRPr="00000000">
        <w:rPr>
          <w:rtl w:val="0"/>
        </w:rPr>
        <w:t xml:space="preserve">, h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owever, they should “flow” from the beginning to end evenly and demonstrate a thorough understanding of the book. All reading log entries should be in complete sentences. Below is a list of items that you may do on your reading log</w:t>
      </w:r>
      <w:r w:rsidDel="00000000" w:rsidR="00000000" w:rsidRPr="00000000">
        <w:rPr>
          <w:rtl w:val="0"/>
        </w:rPr>
        <w:t xml:space="preserve">. (Do not complete 15 pictures and 5 predictions.) Here is a list of options that you may reflect on or complete as you read: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Draw a colored p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icture with a one sentence caption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Prediction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Connection to other books (i.e. “Red Scarf Girl,” </w:t>
      </w:r>
      <w:r w:rsidDel="00000000" w:rsidR="00000000" w:rsidRPr="00000000">
        <w:rPr>
          <w:sz w:val="24"/>
          <w:szCs w:val="24"/>
          <w:rtl w:val="0"/>
        </w:rPr>
        <w:t xml:space="preserve">“Boys without Names,” “Breadwinner”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Realization or an </w:t>
      </w: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Aha! moment</w:t>
      </w:r>
      <w:r w:rsidDel="00000000" w:rsidR="00000000" w:rsidRPr="00000000">
        <w:rPr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Connection to your own life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Analyze an important quote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an inference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Ask yourself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Setting analysis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Character analysis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Compare and contrast something to “Red Scarf Girl”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you do in this situation?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  <w:t xml:space="preserve">Need an example? Here are what my first 4 entries look like:</w:t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5948363</wp:posOffset>
            </wp:positionH>
            <wp:positionV relativeFrom="paragraph">
              <wp:posOffset>19050</wp:posOffset>
            </wp:positionV>
            <wp:extent cx="985838" cy="660083"/>
            <wp:effectExtent b="0" l="0" r="0" t="0"/>
            <wp:wrapSquare wrapText="bothSides" distB="114300" distT="114300" distL="114300" distR="114300"/>
            <wp:docPr id="2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6"/>
                    <a:srcRect b="9917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5838" cy="6600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-114299</wp:posOffset>
            </wp:positionH>
            <wp:positionV relativeFrom="paragraph">
              <wp:posOffset>19050</wp:posOffset>
            </wp:positionV>
            <wp:extent cx="1323975" cy="361950"/>
            <wp:effectExtent b="0" l="0" r="0" t="0"/>
            <wp:wrapSquare wrapText="bothSides" distB="114300" distT="114300" distL="114300" distR="114300"/>
            <wp:docPr id="3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7"/>
                    <a:srcRect b="32142" l="0" r="0" t="3392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       ➔</w:t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Connection to my </w:t>
        <w:tab/>
      </w:r>
      <w:r w:rsidDel="00000000" w:rsidR="00000000" w:rsidRPr="00000000">
        <w:rPr>
          <w:rtl w:val="0"/>
        </w:rPr>
        <w:t xml:space="preserve">  ➔</w:t>
        <w:tab/>
      </w:r>
      <w:r w:rsidDel="00000000" w:rsidR="00000000" w:rsidRPr="00000000">
        <w:rPr>
          <w:b w:val="1"/>
          <w:rtl w:val="0"/>
        </w:rPr>
        <w:t xml:space="preserve">Quote:</w:t>
        <w:tab/>
        <w:tab/>
        <w:tab/>
      </w:r>
      <w:r w:rsidDel="00000000" w:rsidR="00000000" w:rsidRPr="00000000">
        <w:rPr>
          <w:rtl w:val="0"/>
        </w:rPr>
        <w:t xml:space="preserve">➔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2880" w:firstLine="720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life:</w:t>
      </w:r>
      <w:r w:rsidDel="00000000" w:rsidR="00000000" w:rsidRPr="00000000">
        <w:rPr>
          <w:rtl w:val="0"/>
        </w:rPr>
        <w:t xml:space="preserve"> Sasha lives in a</w:t>
        <w:tab/>
        <w:tab/>
        <w:t xml:space="preserve">“Don’t speak to</w:t>
        <w:tab/>
        <w:tab/>
        <w:tab/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Connection: </w:t>
      </w:r>
      <w:r w:rsidDel="00000000" w:rsidR="00000000" w:rsidRPr="00000000">
        <w:rPr>
          <w:rtl w:val="0"/>
        </w:rPr>
        <w:t xml:space="preserve">Sasha and</w:t>
        <w:tab/>
        <w:tab/>
        <w:tab/>
        <w:t xml:space="preserve">communal </w:t>
        <w:tab/>
        <w:tab/>
        <w:tab/>
        <w:t xml:space="preserve">him… he’ll use it”</w:t>
        <w:tab/>
        <w:tab/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Ji-li both want to be red</w:t>
        <w:tab/>
        <w:tab/>
        <w:tab/>
        <w:t xml:space="preserve">apartment complex</w:t>
        <w:tab/>
        <w:tab/>
        <w:t xml:space="preserve">This sounds like</w:t>
        <w:tab/>
        <w:tab/>
        <w:tab/>
        <w:t xml:space="preserve">The Young 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pioneers and support</w:t>
        <w:tab/>
        <w:tab/>
        <w:tab/>
        <w:t xml:space="preserve">with more than 48</w:t>
        <w:tab/>
        <w:tab/>
        <w:t xml:space="preserve">Sasha’s dad does</w:t>
        <w:tab/>
        <w:tab/>
        <w:t xml:space="preserve">Pioneers wear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the leaders of their</w:t>
        <w:tab/>
        <w:tab/>
        <w:tab/>
        <w:t xml:space="preserve">others sharing the</w:t>
        <w:tab/>
        <w:tab/>
        <w:t xml:space="preserve">not want him</w:t>
        <w:tab/>
        <w:tab/>
        <w:tab/>
        <w:t xml:space="preserve">a red scarf just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country. But Sasha’s</w:t>
        <w:tab/>
        <w:tab/>
        <w:tab/>
        <w:t xml:space="preserve">kitchen. In college I</w:t>
        <w:tab/>
        <w:tab/>
        <w:t xml:space="preserve">talking to</w:t>
        <w:tab/>
        <w:tab/>
        <w:tab/>
        <w:t xml:space="preserve">like the red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letter makes it seem</w:t>
        <w:tab/>
        <w:tab/>
        <w:tab/>
        <w:t xml:space="preserve">lived with 8 other </w:t>
        <w:tab/>
        <w:tab/>
        <w:t xml:space="preserve">Stukachov because</w:t>
        <w:tab/>
        <w:tab/>
        <w:t xml:space="preserve">successors and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like he is brainwashed</w:t>
        <w:tab/>
        <w:tab/>
        <w:tab/>
        <w:t xml:space="preserve">friends and that</w:t>
        <w:tab/>
        <w:tab/>
        <w:tab/>
        <w:t xml:space="preserve">maybe like in “Red</w:t>
        <w:tab/>
        <w:tab/>
        <w:t xml:space="preserve">Ji-li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like Ji-li said in the</w:t>
        <w:tab/>
        <w:tab/>
        <w:tab/>
        <w:t xml:space="preserve">was way too many!</w:t>
        <w:tab/>
        <w:tab/>
        <w:t xml:space="preserve">Scarf Girl.” neighbors are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epilogue.</w:t>
        <w:tab/>
        <w:tab/>
        <w:tab/>
        <w:tab/>
        <w:t xml:space="preserve">The place was</w:t>
        <w:tab/>
        <w:tab/>
        <w:tab/>
        <w:t xml:space="preserve">supposed to spy on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 xml:space="preserve">always dirty!</w:t>
        <w:tab/>
        <w:tab/>
        <w:tab/>
        <w:t xml:space="preserve">each other.</w:t>
      </w:r>
    </w:p>
    <w:sectPr>
      <w:pgSz w:h="15840" w:w="12240"/>
      <w:pgMar w:bottom="1440" w:top="633.6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4.png"/><Relationship Id="rId7" Type="http://schemas.openxmlformats.org/officeDocument/2006/relationships/image" Target="media/image05.png"/></Relationships>
</file>